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Pr="00DF726C">
        <w:rPr>
          <w:rStyle w:val="a6"/>
          <w:rFonts w:ascii="Times New Roman" w:hAnsi="Times New Roman"/>
          <w:sz w:val="26"/>
        </w:rPr>
        <w:t xml:space="preserve"> созыва  (</w:t>
      </w:r>
      <w:r w:rsidR="003368BB">
        <w:rPr>
          <w:rStyle w:val="a6"/>
          <w:rFonts w:ascii="Times New Roman" w:hAnsi="Times New Roman"/>
          <w:sz w:val="26"/>
        </w:rPr>
        <w:t>четвертая</w:t>
      </w:r>
      <w:r>
        <w:rPr>
          <w:rStyle w:val="a6"/>
          <w:rFonts w:ascii="Times New Roman" w:hAnsi="Times New Roman"/>
          <w:sz w:val="26"/>
        </w:rPr>
        <w:t xml:space="preserve"> </w:t>
      </w:r>
      <w:r w:rsidR="002B35FC">
        <w:rPr>
          <w:rStyle w:val="a6"/>
          <w:rFonts w:ascii="Times New Roman" w:hAnsi="Times New Roman"/>
          <w:sz w:val="26"/>
        </w:rPr>
        <w:t xml:space="preserve">очередная </w:t>
      </w:r>
      <w:r w:rsidRPr="00DF726C">
        <w:rPr>
          <w:rStyle w:val="a6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6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368BB">
        <w:rPr>
          <w:rFonts w:ascii="Times New Roman" w:hAnsi="Times New Roman"/>
          <w:sz w:val="26"/>
        </w:rPr>
        <w:t>15</w:t>
      </w:r>
      <w:r w:rsidR="00392849">
        <w:rPr>
          <w:rFonts w:ascii="Times New Roman" w:hAnsi="Times New Roman"/>
          <w:sz w:val="26"/>
        </w:rPr>
        <w:t xml:space="preserve"> </w:t>
      </w:r>
      <w:r w:rsidR="003368BB">
        <w:rPr>
          <w:rFonts w:ascii="Times New Roman" w:hAnsi="Times New Roman"/>
          <w:sz w:val="26"/>
        </w:rPr>
        <w:t>декабря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368BB">
        <w:rPr>
          <w:rFonts w:ascii="Times New Roman" w:hAnsi="Times New Roman"/>
          <w:sz w:val="26"/>
        </w:rPr>
        <w:t xml:space="preserve">                                     </w:t>
      </w:r>
      <w:r w:rsidR="00392849" w:rsidRPr="00877F1F">
        <w:rPr>
          <w:rFonts w:ascii="Times New Roman" w:hAnsi="Times New Roman"/>
          <w:sz w:val="26"/>
        </w:rPr>
        <w:t>№</w:t>
      </w:r>
      <w:r w:rsidR="00C0745D">
        <w:rPr>
          <w:rFonts w:ascii="Times New Roman" w:hAnsi="Times New Roman"/>
          <w:sz w:val="26"/>
        </w:rPr>
        <w:t xml:space="preserve"> </w:t>
      </w:r>
      <w:r w:rsidR="003368BB">
        <w:rPr>
          <w:rFonts w:ascii="Times New Roman" w:hAnsi="Times New Roman"/>
          <w:sz w:val="26"/>
        </w:rPr>
        <w:t>4</w:t>
      </w:r>
      <w:r w:rsidR="00DA69EA">
        <w:rPr>
          <w:rFonts w:ascii="Times New Roman" w:hAnsi="Times New Roman"/>
          <w:sz w:val="26"/>
        </w:rPr>
        <w:t>2</w:t>
      </w:r>
      <w:r w:rsidR="00392849" w:rsidRPr="00877F1F">
        <w:rPr>
          <w:rFonts w:ascii="Times New Roman" w:hAnsi="Times New Roman"/>
          <w:sz w:val="26"/>
        </w:rPr>
        <w:t xml:space="preserve"> 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C0745D" w:rsidRDefault="00C0745D" w:rsidP="00490624">
      <w:pPr>
        <w:spacing w:after="0"/>
        <w:ind w:firstLine="851"/>
        <w:jc w:val="center"/>
        <w:rPr>
          <w:szCs w:val="28"/>
        </w:rPr>
      </w:pPr>
    </w:p>
    <w:p w:rsidR="00DA69EA" w:rsidRPr="00DA69EA" w:rsidRDefault="00DA69EA" w:rsidP="00DA69EA">
      <w:pPr>
        <w:pStyle w:val="1"/>
        <w:rPr>
          <w:sz w:val="26"/>
          <w:szCs w:val="26"/>
        </w:rPr>
      </w:pPr>
      <w:r w:rsidRPr="00DA69EA">
        <w:rPr>
          <w:sz w:val="26"/>
          <w:szCs w:val="26"/>
        </w:rPr>
        <w:t xml:space="preserve">О бюджете Мезенского муниципального округа </w:t>
      </w:r>
    </w:p>
    <w:p w:rsidR="00DA69EA" w:rsidRPr="00DA69EA" w:rsidRDefault="00DA69EA" w:rsidP="00DA69EA">
      <w:pPr>
        <w:pStyle w:val="1"/>
        <w:rPr>
          <w:sz w:val="26"/>
          <w:szCs w:val="26"/>
        </w:rPr>
      </w:pPr>
      <w:r w:rsidRPr="00DA69EA">
        <w:rPr>
          <w:sz w:val="26"/>
          <w:szCs w:val="26"/>
        </w:rPr>
        <w:t>на 2023 год и на плановый период 2024 и 2025 годов</w:t>
      </w:r>
    </w:p>
    <w:p w:rsidR="00D564B4" w:rsidRPr="00EC3870" w:rsidRDefault="00D564B4" w:rsidP="00D564B4">
      <w:pPr>
        <w:pStyle w:val="a9"/>
        <w:spacing w:line="300" w:lineRule="exact"/>
        <w:ind w:right="-1"/>
        <w:rPr>
          <w:b w:val="0"/>
          <w:bCs w:val="0"/>
          <w:sz w:val="26"/>
          <w:szCs w:val="26"/>
        </w:rPr>
      </w:pPr>
    </w:p>
    <w:p w:rsidR="00D564B4" w:rsidRPr="00392849" w:rsidRDefault="00D564B4" w:rsidP="00DA69EA">
      <w:pPr>
        <w:tabs>
          <w:tab w:val="left" w:pos="1134"/>
        </w:tabs>
        <w:spacing w:after="0"/>
        <w:ind w:firstLine="851"/>
        <w:jc w:val="both"/>
        <w:rPr>
          <w:sz w:val="26"/>
          <w:szCs w:val="26"/>
        </w:rPr>
      </w:pPr>
    </w:p>
    <w:p w:rsidR="00DA69EA" w:rsidRPr="00DA69EA" w:rsidRDefault="00DA69EA" w:rsidP="00DA69EA">
      <w:pPr>
        <w:pStyle w:val="1"/>
        <w:tabs>
          <w:tab w:val="left" w:pos="1134"/>
        </w:tabs>
        <w:ind w:firstLine="851"/>
        <w:jc w:val="both"/>
        <w:rPr>
          <w:b w:val="0"/>
          <w:i/>
          <w:sz w:val="26"/>
          <w:szCs w:val="26"/>
        </w:rPr>
      </w:pPr>
      <w:r w:rsidRPr="00DA69EA">
        <w:rPr>
          <w:b w:val="0"/>
          <w:sz w:val="26"/>
          <w:szCs w:val="26"/>
        </w:rPr>
        <w:t xml:space="preserve">Рассмотрев представленный администрацией муниципального образования «Мезенский район» проект бюджета Мезенского муниципального округа на 2023 год и на плановый период 2024 и 2025 годов, Собрание депутатов Мезенского муниципального округа </w:t>
      </w:r>
      <w:r>
        <w:rPr>
          <w:b w:val="0"/>
          <w:sz w:val="26"/>
          <w:szCs w:val="26"/>
        </w:rPr>
        <w:t>Архангельской области</w:t>
      </w:r>
      <w:r w:rsidRPr="00DA69EA">
        <w:rPr>
          <w:b w:val="0"/>
          <w:sz w:val="26"/>
          <w:szCs w:val="26"/>
        </w:rPr>
        <w:t xml:space="preserve">  </w:t>
      </w:r>
      <w:r w:rsidRPr="00DA69EA">
        <w:rPr>
          <w:i/>
          <w:sz w:val="26"/>
          <w:szCs w:val="26"/>
        </w:rPr>
        <w:t xml:space="preserve">р е </w:t>
      </w:r>
      <w:proofErr w:type="spellStart"/>
      <w:proofErr w:type="gramStart"/>
      <w:r w:rsidRPr="00DA69EA">
        <w:rPr>
          <w:i/>
          <w:sz w:val="26"/>
          <w:szCs w:val="26"/>
        </w:rPr>
        <w:t>ш</w:t>
      </w:r>
      <w:proofErr w:type="spellEnd"/>
      <w:proofErr w:type="gramEnd"/>
      <w:r w:rsidRPr="00DA69EA">
        <w:rPr>
          <w:i/>
          <w:sz w:val="26"/>
          <w:szCs w:val="26"/>
        </w:rPr>
        <w:t xml:space="preserve"> а е т:</w:t>
      </w:r>
      <w:r w:rsidRPr="00DA69EA">
        <w:rPr>
          <w:b w:val="0"/>
          <w:i/>
          <w:sz w:val="26"/>
          <w:szCs w:val="26"/>
        </w:rPr>
        <w:t xml:space="preserve"> </w:t>
      </w:r>
    </w:p>
    <w:p w:rsidR="00DA69EA" w:rsidRPr="003759C8" w:rsidRDefault="00DA69EA" w:rsidP="00DA69EA">
      <w:pPr>
        <w:spacing w:after="0"/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3759C8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1.</w:t>
            </w:r>
          </w:p>
        </w:tc>
        <w:tc>
          <w:tcPr>
            <w:tcW w:w="738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Основные характеристики бюджета муниципального округа на 2023 год и на плановый период 2024 и 2025 годов</w:t>
            </w:r>
          </w:p>
        </w:tc>
      </w:tr>
    </w:tbl>
    <w:p w:rsidR="00DA69EA" w:rsidRPr="003759C8" w:rsidRDefault="00DA69EA" w:rsidP="00C13F42">
      <w:pPr>
        <w:spacing w:after="0"/>
        <w:ind w:firstLine="720"/>
        <w:jc w:val="both"/>
      </w:pPr>
    </w:p>
    <w:p w:rsidR="00DA69EA" w:rsidRPr="00DA69EA" w:rsidRDefault="00DA69EA" w:rsidP="00C13F42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 xml:space="preserve">1. Утвердить основные характеристики </w:t>
      </w:r>
      <w:bookmarkStart w:id="0" w:name="_Hlk118645165"/>
      <w:r w:rsidRPr="00DA69EA">
        <w:rPr>
          <w:bCs/>
          <w:sz w:val="26"/>
          <w:szCs w:val="26"/>
        </w:rPr>
        <w:t xml:space="preserve">бюджета муниципального округа </w:t>
      </w:r>
      <w:bookmarkEnd w:id="0"/>
      <w:r w:rsidRPr="00DA69EA">
        <w:rPr>
          <w:bCs/>
          <w:sz w:val="26"/>
          <w:szCs w:val="26"/>
        </w:rPr>
        <w:t>на 2023 год:</w:t>
      </w:r>
    </w:p>
    <w:p w:rsidR="00DA69EA" w:rsidRPr="00DA69EA" w:rsidRDefault="00DA69EA" w:rsidP="00C13F42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а) прогнозируемый общий объем доходов бюджета муниципального округа в сумме 970 148 001,94 рубль;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б) общий объем расходов бюджета муниципального округа в сумме                        975 148 001, 94 рубль;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в) дефицит бюджета муниципального округа в сумме 5 000 000 рублей.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2. Утвердить основные характеристики бюджета муниципального округа на плановый период 2024 и 2025 годов: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а) прогнозируемый общий объем доходов бюджета муниципального округа на 2024 год в сумме 900 335 165,52 рублей и на 2025 год в сумме 922 464 352,68 рубля;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б) общий объем расходов бюджета муниципального округа на 2024 год в сумме  900 335 165,52 рублей, в том числе условно утвержденные расходы в сумме 16 087 000 рублей, и на 2025 год в сумме 922 464 352,68 рубля, в том числе условно утвержденные расходы в сумме 32 828 000 рублей;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  <w:r w:rsidRPr="00DA69EA">
        <w:rPr>
          <w:bCs/>
          <w:sz w:val="26"/>
          <w:szCs w:val="26"/>
        </w:rPr>
        <w:t>в) дефицит бюджета муниципального округа на 2024 год в сумме 0 рублей и на 2025 год в сумме 0 рублей.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bCs/>
          <w:sz w:val="26"/>
          <w:szCs w:val="26"/>
        </w:rPr>
      </w:pPr>
    </w:p>
    <w:tbl>
      <w:tblPr>
        <w:tblW w:w="9206" w:type="dxa"/>
        <w:jc w:val="center"/>
        <w:tblInd w:w="648" w:type="dxa"/>
        <w:tblLook w:val="01E0"/>
      </w:tblPr>
      <w:tblGrid>
        <w:gridCol w:w="1800"/>
        <w:gridCol w:w="7406"/>
      </w:tblGrid>
      <w:tr w:rsidR="00DA69EA" w:rsidRPr="003759C8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2.</w:t>
            </w:r>
          </w:p>
        </w:tc>
        <w:tc>
          <w:tcPr>
            <w:tcW w:w="7406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bCs/>
                <w:sz w:val="26"/>
                <w:szCs w:val="26"/>
              </w:rPr>
              <w:t xml:space="preserve">Прогнозируемое поступление доходов </w:t>
            </w:r>
            <w:r w:rsidRPr="00DA69EA">
              <w:rPr>
                <w:b/>
                <w:sz w:val="26"/>
                <w:szCs w:val="26"/>
              </w:rPr>
              <w:t>бюджета муниципального округа на 2023 год и на плановый период 2024 и 2025 годов</w:t>
            </w:r>
            <w:r w:rsidRPr="00DA69EA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DA69EA" w:rsidRPr="003759C8" w:rsidRDefault="00DA69EA" w:rsidP="00C13F42">
      <w:pPr>
        <w:spacing w:after="0"/>
        <w:jc w:val="both"/>
      </w:pPr>
    </w:p>
    <w:p w:rsidR="00DA69EA" w:rsidRPr="00DA69EA" w:rsidRDefault="00DA69EA" w:rsidP="00C13F4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 xml:space="preserve">Утвердить прогнозируемое поступление доходов </w:t>
      </w:r>
      <w:r w:rsidRPr="00DA69EA">
        <w:rPr>
          <w:bCs/>
          <w:sz w:val="26"/>
          <w:szCs w:val="26"/>
        </w:rPr>
        <w:t xml:space="preserve">бюджета муниципального округа </w:t>
      </w:r>
      <w:r w:rsidRPr="00DA69EA">
        <w:rPr>
          <w:sz w:val="26"/>
          <w:szCs w:val="26"/>
        </w:rPr>
        <w:t>на 2023 год и на плановый период 2024 и 2025 годов согласно приложению № 1 к настоящему решению.</w:t>
      </w:r>
    </w:p>
    <w:p w:rsidR="00DA69EA" w:rsidRPr="00DA69EA" w:rsidRDefault="00DA69EA" w:rsidP="00DA69EA">
      <w:pPr>
        <w:spacing w:after="0"/>
        <w:ind w:firstLine="720"/>
        <w:jc w:val="both"/>
        <w:rPr>
          <w:sz w:val="26"/>
          <w:szCs w:val="26"/>
        </w:rPr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DA69EA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lastRenderedPageBreak/>
              <w:t>Статья 3.</w:t>
            </w:r>
          </w:p>
        </w:tc>
        <w:tc>
          <w:tcPr>
            <w:tcW w:w="738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Источники финансирования дефицита бюджета муниципального округа на 2023 год и на плановый период 2024 и 2025 годов</w:t>
            </w:r>
          </w:p>
        </w:tc>
      </w:tr>
    </w:tbl>
    <w:p w:rsidR="00DA69EA" w:rsidRPr="00DA69EA" w:rsidRDefault="00DA69EA" w:rsidP="00C13F42">
      <w:pPr>
        <w:spacing w:after="0"/>
        <w:ind w:firstLine="720"/>
        <w:jc w:val="both"/>
        <w:rPr>
          <w:sz w:val="26"/>
          <w:szCs w:val="26"/>
        </w:rPr>
      </w:pPr>
    </w:p>
    <w:p w:rsidR="00DA69EA" w:rsidRPr="00DA69EA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 xml:space="preserve">Утвердить источники финансирования дефицита </w:t>
      </w:r>
      <w:r w:rsidRPr="00DA69EA">
        <w:rPr>
          <w:bCs/>
          <w:sz w:val="26"/>
          <w:szCs w:val="26"/>
        </w:rPr>
        <w:t xml:space="preserve">бюджета муниципального округа </w:t>
      </w:r>
      <w:r w:rsidRPr="00DA69EA">
        <w:rPr>
          <w:sz w:val="26"/>
          <w:szCs w:val="26"/>
        </w:rPr>
        <w:t>на 2023 год и на плановый период 2024 и 2025 годов согласно  приложению № 2 к настоящему решению.</w:t>
      </w:r>
    </w:p>
    <w:p w:rsidR="00DA69EA" w:rsidRPr="00DA69EA" w:rsidRDefault="00DA69EA" w:rsidP="00C13F42">
      <w:pPr>
        <w:spacing w:after="0"/>
        <w:ind w:firstLine="720"/>
        <w:jc w:val="both"/>
        <w:rPr>
          <w:b/>
          <w:bCs/>
          <w:sz w:val="26"/>
          <w:szCs w:val="26"/>
        </w:rPr>
      </w:pPr>
    </w:p>
    <w:tbl>
      <w:tblPr>
        <w:tblW w:w="9206" w:type="dxa"/>
        <w:jc w:val="center"/>
        <w:tblInd w:w="648" w:type="dxa"/>
        <w:tblLook w:val="01E0"/>
      </w:tblPr>
      <w:tblGrid>
        <w:gridCol w:w="1800"/>
        <w:gridCol w:w="7406"/>
      </w:tblGrid>
      <w:tr w:rsidR="00DA69EA" w:rsidRPr="00DA69EA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DA69EA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4.</w:t>
            </w:r>
          </w:p>
        </w:tc>
        <w:tc>
          <w:tcPr>
            <w:tcW w:w="7406" w:type="dxa"/>
          </w:tcPr>
          <w:p w:rsidR="00DA69EA" w:rsidRPr="00DA69EA" w:rsidRDefault="00DA69EA" w:rsidP="00DA69EA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bCs/>
                <w:sz w:val="26"/>
                <w:szCs w:val="26"/>
              </w:rPr>
              <w:t>Бюджетные ассигнования бюджета муниципального округа на 2023 год и на плановый период 2024 и 2025 годов</w:t>
            </w:r>
          </w:p>
        </w:tc>
      </w:tr>
    </w:tbl>
    <w:p w:rsidR="00DA69EA" w:rsidRPr="003759C8" w:rsidRDefault="00DA69EA" w:rsidP="00C13F42">
      <w:pPr>
        <w:spacing w:after="0"/>
        <w:ind w:firstLine="720"/>
        <w:jc w:val="both"/>
        <w:rPr>
          <w:b/>
          <w:bCs/>
        </w:rPr>
      </w:pPr>
    </w:p>
    <w:p w:rsidR="00DA69EA" w:rsidRPr="00DA69EA" w:rsidRDefault="00DA69EA" w:rsidP="00C13F42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>1. Утвердить распределение бюджетных ассигнований по разделам            и подразделам классификации расходов бюджетов на 2023 год и на плановый период 2024 и 2025 годов согласно приложению № 3 к настоящему решению.</w:t>
      </w:r>
    </w:p>
    <w:p w:rsidR="00DA69EA" w:rsidRPr="00DA69EA" w:rsidRDefault="00DA69EA" w:rsidP="00C13F42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 xml:space="preserve">2. Утвердить ведомственную структуру расходов </w:t>
      </w:r>
      <w:r w:rsidRPr="00DA69EA">
        <w:rPr>
          <w:b w:val="0"/>
          <w:bCs w:val="0"/>
          <w:sz w:val="26"/>
          <w:szCs w:val="26"/>
        </w:rPr>
        <w:t>бюджета муниципального округа</w:t>
      </w:r>
      <w:r w:rsidRPr="00DA69EA">
        <w:rPr>
          <w:b w:val="0"/>
          <w:sz w:val="26"/>
          <w:szCs w:val="26"/>
        </w:rPr>
        <w:t xml:space="preserve"> на 2023 год и на плановый период 2024 и 2025 годов согласно приложению № 4 к настоящему решению.</w:t>
      </w:r>
    </w:p>
    <w:p w:rsidR="00DA69EA" w:rsidRPr="00DA69EA" w:rsidRDefault="00DA69EA" w:rsidP="00C13F42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 xml:space="preserve">3. Утвердить распределение бюджетных ассигнований по целевым статьям (муниципальным программам Мезенского муниципального округа  и непрограммным направлениям деятельности), группам и подгруппам </w:t>
      </w:r>
      <w:proofErr w:type="gramStart"/>
      <w:r w:rsidRPr="00DA69EA">
        <w:rPr>
          <w:b w:val="0"/>
          <w:sz w:val="26"/>
          <w:szCs w:val="26"/>
        </w:rPr>
        <w:t>видов расходов классификации расходов бюджетов</w:t>
      </w:r>
      <w:proofErr w:type="gramEnd"/>
      <w:r w:rsidRPr="00DA69EA">
        <w:rPr>
          <w:b w:val="0"/>
          <w:sz w:val="26"/>
          <w:szCs w:val="26"/>
        </w:rPr>
        <w:t xml:space="preserve"> на 2023 год и на плановый период 2024 и 2025 годов согласно приложению № 5 к настоящему решению.</w:t>
      </w:r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>4. Утвердить распределение бюджетных ассигнований на осуществление бюджетных инвестиций в объекты капитального строительства муниципальной собственности Мезенского муниципального округа на 2023 год и на плановый период 2024 и 2025 годов согласно приложению № 6 к настоящему решению.</w:t>
      </w:r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>5. Утвердить распределение отдельных видов расходов бюджета муниципального округа в разрезе ведомственной структуры расходов на 2023 год и на плановый период 2024 и 2025 годов согласно приложению № 7 к настоящему решению.</w:t>
      </w:r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>6. Утвердить общий объем бюджетных ассигнований на исполнение публичных нормативных обязательств на 2023 год в сумме 4</w:t>
      </w:r>
      <w:r w:rsidRPr="00DA69EA">
        <w:rPr>
          <w:b w:val="0"/>
          <w:sz w:val="26"/>
          <w:szCs w:val="26"/>
          <w:lang w:val="en-US"/>
        </w:rPr>
        <w:t> </w:t>
      </w:r>
      <w:r w:rsidRPr="00DA69EA">
        <w:rPr>
          <w:b w:val="0"/>
          <w:sz w:val="26"/>
          <w:szCs w:val="26"/>
        </w:rPr>
        <w:t>200 000</w:t>
      </w:r>
      <w:r w:rsidRPr="00DA69EA">
        <w:rPr>
          <w:b w:val="0"/>
          <w:sz w:val="26"/>
          <w:szCs w:val="26"/>
        </w:rPr>
        <w:br/>
        <w:t>рублей, на 2024 год в сумме 4 200 000 рублей и на 2025 год в сумме 4 200 000 рублей.</w:t>
      </w:r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3759C8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5.</w:t>
            </w:r>
          </w:p>
        </w:tc>
        <w:tc>
          <w:tcPr>
            <w:tcW w:w="738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proofErr w:type="gramStart"/>
            <w:r w:rsidRPr="00DA69EA">
              <w:rPr>
                <w:b/>
                <w:sz w:val="26"/>
                <w:szCs w:val="26"/>
              </w:rPr>
              <w:t xml:space="preserve">Предоставление субсидий юридическим лицам (за исключением субсидий государственным (муниципальным) учреждениям, индивидуальным предпринимателям, физическим лицам – производителям товаров, работ, услуг и некоммерческим организациям, не являющимся казенными учреждениями </w:t>
            </w:r>
            <w:proofErr w:type="gramEnd"/>
          </w:p>
        </w:tc>
      </w:tr>
    </w:tbl>
    <w:p w:rsidR="00DA69EA" w:rsidRPr="003759C8" w:rsidRDefault="00DA69EA" w:rsidP="00C13F42">
      <w:pPr>
        <w:pStyle w:val="a9"/>
      </w:pPr>
    </w:p>
    <w:p w:rsidR="00DA69EA" w:rsidRPr="00DA69EA" w:rsidRDefault="00DA69EA" w:rsidP="00C13F42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 xml:space="preserve">1. Установить, что из </w:t>
      </w:r>
      <w:r w:rsidRPr="00DA69EA">
        <w:rPr>
          <w:b w:val="0"/>
          <w:bCs w:val="0"/>
          <w:sz w:val="26"/>
          <w:szCs w:val="26"/>
        </w:rPr>
        <w:t xml:space="preserve">бюджета муниципального округа </w:t>
      </w:r>
      <w:r w:rsidRPr="00DA69EA">
        <w:rPr>
          <w:b w:val="0"/>
          <w:sz w:val="26"/>
          <w:szCs w:val="26"/>
        </w:rPr>
        <w:t>предоставляются следующие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услуг:</w:t>
      </w:r>
    </w:p>
    <w:p w:rsidR="00DA69EA" w:rsidRPr="00DA69EA" w:rsidRDefault="00DA69EA" w:rsidP="00C13F42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 xml:space="preserve">а)  на обеспечение жителей Мезенского муниципального округа услугами торговли; 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lastRenderedPageBreak/>
        <w:t>б) на доставку муки в Мезенский муниципальный округ, имеющий сезонные ограничения по транспортной доступности;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strike/>
          <w:sz w:val="26"/>
          <w:szCs w:val="26"/>
        </w:rPr>
      </w:pPr>
      <w:r w:rsidRPr="00DA69EA">
        <w:rPr>
          <w:sz w:val="26"/>
          <w:szCs w:val="26"/>
        </w:rPr>
        <w:t>в) на развитие собственного бизнеса субъектам малого и среднего предпринимательства;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г) на осуществление пассажирских перевозок автомобильным транспортом на территории Мезенского муниципального округа;</w:t>
      </w:r>
    </w:p>
    <w:p w:rsidR="00DA69EA" w:rsidRPr="00DA69EA" w:rsidRDefault="00DA69EA" w:rsidP="00DA69EA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 xml:space="preserve">д) на мероприятия </w:t>
      </w:r>
      <w:r w:rsidRPr="00DA69EA">
        <w:rPr>
          <w:color w:val="000000"/>
          <w:sz w:val="26"/>
          <w:szCs w:val="26"/>
        </w:rPr>
        <w:t xml:space="preserve">по реализации молодежной политики в рамках муниципальной программы </w:t>
      </w:r>
      <w:r w:rsidRPr="00DA69EA">
        <w:rPr>
          <w:bCs/>
          <w:sz w:val="26"/>
          <w:szCs w:val="26"/>
        </w:rPr>
        <w:t>«Молодёжь Мезенского муниципального округа Архангельской области на 2023 – 2025 годы»</w:t>
      </w:r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 xml:space="preserve">2. </w:t>
      </w:r>
      <w:proofErr w:type="gramStart"/>
      <w:r w:rsidRPr="00DA69EA">
        <w:rPr>
          <w:b w:val="0"/>
          <w:sz w:val="26"/>
          <w:szCs w:val="26"/>
        </w:rPr>
        <w:t>Порядок предоставления в 2023 году субсидий юридическим лицам (за исключением субсидий муниципальным учреждениям, индивидуальным предпринимателям, физическим лицам – производителям товаров, работ, услуг утверждается администрацией Мезенского муниципального округа.</w:t>
      </w:r>
      <w:proofErr w:type="gramEnd"/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DA69EA">
        <w:rPr>
          <w:b w:val="0"/>
          <w:sz w:val="26"/>
          <w:szCs w:val="26"/>
        </w:rPr>
        <w:t>3.</w:t>
      </w:r>
      <w:r w:rsidRPr="00DA69EA">
        <w:rPr>
          <w:b w:val="0"/>
          <w:color w:val="000000"/>
          <w:sz w:val="26"/>
          <w:szCs w:val="26"/>
        </w:rPr>
        <w:t xml:space="preserve"> Установить, что из бюджета муниципального округа предоставляются субсидии некоммерческим организациям, не являющимся государственными (муниципальными) учреждениями, в рамках реализации муниципальной программы «</w:t>
      </w:r>
      <w:r w:rsidRPr="00DA69EA">
        <w:rPr>
          <w:b w:val="0"/>
          <w:sz w:val="26"/>
          <w:szCs w:val="26"/>
        </w:rPr>
        <w:t>Развитие образования в Мезенском муниципальном округе Архангельской области на 2023 – 2025 годы».</w:t>
      </w:r>
    </w:p>
    <w:p w:rsidR="00DA69EA" w:rsidRPr="00DA69EA" w:rsidRDefault="00DA69EA" w:rsidP="00DA69EA">
      <w:pPr>
        <w:pStyle w:val="a9"/>
        <w:tabs>
          <w:tab w:val="left" w:pos="1134"/>
        </w:tabs>
        <w:ind w:left="0" w:firstLine="709"/>
        <w:jc w:val="both"/>
        <w:rPr>
          <w:b w:val="0"/>
          <w:color w:val="000000"/>
          <w:sz w:val="26"/>
          <w:szCs w:val="26"/>
          <w:highlight w:val="yellow"/>
        </w:rPr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3759C8" w:rsidTr="00C13F42">
        <w:trPr>
          <w:trHeight w:val="396"/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6.</w:t>
            </w:r>
          </w:p>
        </w:tc>
        <w:tc>
          <w:tcPr>
            <w:tcW w:w="7380" w:type="dxa"/>
          </w:tcPr>
          <w:p w:rsidR="00DA69EA" w:rsidRPr="00DA69EA" w:rsidRDefault="00DA69EA" w:rsidP="00C13F42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Дорожный фонд Мезенского муниципального округа</w:t>
            </w:r>
          </w:p>
        </w:tc>
      </w:tr>
    </w:tbl>
    <w:p w:rsidR="00DA69EA" w:rsidRPr="003759C8" w:rsidRDefault="00DA69EA" w:rsidP="00C13F42">
      <w:pPr>
        <w:spacing w:after="0"/>
        <w:ind w:firstLine="708"/>
        <w:jc w:val="both"/>
        <w:rPr>
          <w:bCs/>
        </w:rPr>
      </w:pPr>
    </w:p>
    <w:p w:rsidR="00DA69EA" w:rsidRPr="00DA69EA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1. Утвердить общий объем дорожного фонда Мезенского муниципального округа на 2023 год в сумме 23 108 089 рублей, на 2024 год в сумме 24 317 200 рублей и на 2025 год в сумме 25 148 300 рублей.</w:t>
      </w:r>
    </w:p>
    <w:p w:rsidR="00DA69EA" w:rsidRPr="003759C8" w:rsidRDefault="00DA69EA" w:rsidP="00C13F42">
      <w:pPr>
        <w:spacing w:after="0"/>
        <w:ind w:firstLine="708"/>
        <w:jc w:val="both"/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3759C8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7.</w:t>
            </w:r>
          </w:p>
        </w:tc>
        <w:tc>
          <w:tcPr>
            <w:tcW w:w="7380" w:type="dxa"/>
          </w:tcPr>
          <w:p w:rsidR="00DA69EA" w:rsidRPr="00DA69EA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DA69EA">
              <w:rPr>
                <w:b/>
                <w:bCs/>
                <w:sz w:val="26"/>
                <w:szCs w:val="26"/>
              </w:rPr>
              <w:t xml:space="preserve">Муниципальный долг </w:t>
            </w:r>
            <w:r w:rsidRPr="00DA69EA">
              <w:rPr>
                <w:b/>
                <w:sz w:val="26"/>
                <w:szCs w:val="26"/>
              </w:rPr>
              <w:t>Мезенского муниципального округа</w:t>
            </w:r>
          </w:p>
        </w:tc>
      </w:tr>
    </w:tbl>
    <w:p w:rsidR="00DA69EA" w:rsidRPr="00DA69EA" w:rsidRDefault="00DA69EA" w:rsidP="00DA69EA">
      <w:pPr>
        <w:spacing w:after="0"/>
        <w:ind w:firstLine="708"/>
        <w:jc w:val="both"/>
        <w:rPr>
          <w:sz w:val="26"/>
          <w:szCs w:val="26"/>
        </w:rPr>
      </w:pPr>
    </w:p>
    <w:p w:rsidR="00DA69EA" w:rsidRPr="00DA69EA" w:rsidRDefault="00DA69EA" w:rsidP="00DA69EA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1. Утвердить верхний предел муниципального внутреннего долга по долговым обязательствам муниципального округа на 1 января 2024 года, на 1 января 2025 года и на 1 января 2026 года по видам долговых обязательств согласно приложению № 8 к настоящему решению, в том числе:</w:t>
      </w:r>
    </w:p>
    <w:p w:rsidR="00DA69EA" w:rsidRPr="00DA69EA" w:rsidRDefault="00DA69EA" w:rsidP="00DA69EA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а) на 1 января 2024 года в сумме 10 000 000 рублей, в том числе   по муниципальным гарантиям Мезенского муниципального округа – 0 рублей;</w:t>
      </w:r>
    </w:p>
    <w:p w:rsidR="00DA69EA" w:rsidRPr="00DA69EA" w:rsidRDefault="00DA69EA" w:rsidP="00DA69EA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б) на 1 января 2025 года в сумме 10 000 000 рублей, в том числе по муниципальным гарантиям Мезенского муниципального округа – 0 рублей;</w:t>
      </w:r>
    </w:p>
    <w:p w:rsidR="00DA69EA" w:rsidRPr="00DA69EA" w:rsidRDefault="00DA69EA" w:rsidP="00DA69EA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в) на 1 января 2026 года в сумме  6 700 000 рублей, в том числе  по муниципальным гарантиям Мезенского муниципального округа – 0 рублей.</w:t>
      </w:r>
    </w:p>
    <w:p w:rsidR="00DA69EA" w:rsidRPr="00DA69EA" w:rsidRDefault="00DA69EA" w:rsidP="00DA69EA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2. Утвердить программу муниципальных внутренних заимствований муниципального округа на 2023 год и на плановый период 2024 и 2025 годов согласно приложению № 9 к настоящему решению.</w:t>
      </w:r>
    </w:p>
    <w:p w:rsidR="00DA69EA" w:rsidRPr="00DA69EA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DA69EA">
        <w:rPr>
          <w:sz w:val="26"/>
          <w:szCs w:val="26"/>
        </w:rPr>
        <w:t>3. Утвердить объем расходов бюджета на обслуживание муниципального долга Мезенского муниципального округа на 2023 год в сумме 10 000 рублей, на 2024 год в сумме 10 000 рублей и на 2025 год в сумме 9 600 рублей.</w:t>
      </w:r>
    </w:p>
    <w:p w:rsidR="00DA69EA" w:rsidRPr="003759C8" w:rsidRDefault="00DA69EA" w:rsidP="00C13F42">
      <w:pPr>
        <w:spacing w:after="0"/>
        <w:ind w:firstLine="720"/>
        <w:jc w:val="both"/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3759C8" w:rsidTr="00DA69EA">
        <w:trPr>
          <w:jc w:val="center"/>
        </w:trPr>
        <w:tc>
          <w:tcPr>
            <w:tcW w:w="1800" w:type="dxa"/>
          </w:tcPr>
          <w:p w:rsidR="00DA69EA" w:rsidRPr="00DA69EA" w:rsidRDefault="00DA69EA" w:rsidP="00C13F42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DA69EA">
              <w:rPr>
                <w:b/>
                <w:sz w:val="26"/>
                <w:szCs w:val="26"/>
              </w:rPr>
              <w:t>Статья 8.</w:t>
            </w:r>
          </w:p>
        </w:tc>
        <w:tc>
          <w:tcPr>
            <w:tcW w:w="7380" w:type="dxa"/>
          </w:tcPr>
          <w:p w:rsidR="00DA69EA" w:rsidRPr="00DA69EA" w:rsidRDefault="00DA69EA" w:rsidP="00C13F4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 w:rsidRPr="00DA69EA">
              <w:rPr>
                <w:b/>
                <w:bCs/>
                <w:sz w:val="26"/>
                <w:szCs w:val="26"/>
              </w:rPr>
              <w:t>Особенности исполнения бюджета муниципального округа в 2023 году</w:t>
            </w:r>
          </w:p>
        </w:tc>
      </w:tr>
    </w:tbl>
    <w:p w:rsidR="00DA69EA" w:rsidRPr="003759C8" w:rsidRDefault="00DA69EA" w:rsidP="00C13F42">
      <w:pPr>
        <w:spacing w:after="0"/>
        <w:jc w:val="both"/>
      </w:pPr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lastRenderedPageBreak/>
        <w:t xml:space="preserve">1. Установить в соответствии с пунктом 3 статьи 232 и пунктом 5 статьи 242 Бюджетного кодекса Российской Федерации, финансовый орган </w:t>
      </w:r>
      <w:r w:rsidRPr="00C13F42">
        <w:rPr>
          <w:sz w:val="26"/>
          <w:szCs w:val="26"/>
        </w:rPr>
        <w:br/>
        <w:t>Мезенского муниципального округа (далее - финансовый орган) и уполномоченные органы местного самоуправления Мезенского муниципального округа вправе без внесения изменений в настоящее решение:</w:t>
      </w:r>
    </w:p>
    <w:p w:rsidR="00DA69EA" w:rsidRPr="00C13F42" w:rsidRDefault="00DA69EA" w:rsidP="00C13F42">
      <w:pPr>
        <w:spacing w:after="0"/>
        <w:ind w:firstLine="708"/>
        <w:jc w:val="both"/>
        <w:rPr>
          <w:sz w:val="26"/>
          <w:szCs w:val="26"/>
        </w:rPr>
      </w:pPr>
      <w:proofErr w:type="gramStart"/>
      <w:r w:rsidRPr="00C13F42">
        <w:rPr>
          <w:sz w:val="26"/>
          <w:szCs w:val="26"/>
        </w:rPr>
        <w:t>а) направить в доход областного бюджета не использованные на 1 января 2023 года на счете бюджета муниципального округа остатки субвенций, субсидий и иных межбюджетных трансфертов, имеющих целевое назначение, предоставленных за счет средств областного и федерального бюджетов, и поступившие в бюджет муниципального округа доходы от возврата указанных остатков из бюджетов поселений, а в случае их возврата из областного бюджета для использования</w:t>
      </w:r>
      <w:proofErr w:type="gramEnd"/>
      <w:r w:rsidRPr="00C13F42">
        <w:rPr>
          <w:sz w:val="26"/>
          <w:szCs w:val="26"/>
        </w:rPr>
        <w:t xml:space="preserve"> </w:t>
      </w:r>
      <w:proofErr w:type="gramStart"/>
      <w:r w:rsidRPr="00C13F42">
        <w:rPr>
          <w:sz w:val="26"/>
          <w:szCs w:val="26"/>
        </w:rPr>
        <w:t>на те</w:t>
      </w:r>
      <w:proofErr w:type="gramEnd"/>
      <w:r w:rsidRPr="00C13F42">
        <w:rPr>
          <w:sz w:val="26"/>
          <w:szCs w:val="26"/>
        </w:rPr>
        <w:t xml:space="preserve"> же цели – направить указанные средства на те же цели;</w:t>
      </w:r>
    </w:p>
    <w:p w:rsidR="00DA69EA" w:rsidRPr="00C13F42" w:rsidRDefault="00DA69EA" w:rsidP="00C13F42">
      <w:pPr>
        <w:spacing w:after="0"/>
        <w:ind w:firstLine="708"/>
        <w:jc w:val="both"/>
        <w:rPr>
          <w:strike/>
          <w:sz w:val="26"/>
          <w:szCs w:val="26"/>
        </w:rPr>
      </w:pPr>
      <w:r w:rsidRPr="00C13F42">
        <w:rPr>
          <w:sz w:val="26"/>
          <w:szCs w:val="26"/>
        </w:rPr>
        <w:t xml:space="preserve">2. </w:t>
      </w:r>
      <w:proofErr w:type="gramStart"/>
      <w:r w:rsidRPr="00C13F42">
        <w:rPr>
          <w:sz w:val="26"/>
          <w:szCs w:val="26"/>
        </w:rPr>
        <w:t>Установить в соответствии с пунктом 8 статьи 217 Бюджетного кодекса Российской Федерации, пунктом 5 статьи 11 решения Собрания депутатов Мезенского муниципального округа от 15.12.2022 № __ «Об утверждении положения о бюджетном процессе в Мезенском муниципальном округе» (далее – Положение о бюджетном процессе), что основаниями для внесения изменений в показатели сводной бюджетной росписи бюджета муниципального округа в соответствии с решениями руководителя финансового органа без</w:t>
      </w:r>
      <w:proofErr w:type="gramEnd"/>
      <w:r w:rsidRPr="00C13F42">
        <w:rPr>
          <w:sz w:val="26"/>
          <w:szCs w:val="26"/>
        </w:rPr>
        <w:t xml:space="preserve"> внесения изменений в настоящее решение являются:</w:t>
      </w:r>
      <w:r w:rsidRPr="00C13F42">
        <w:rPr>
          <w:strike/>
          <w:sz w:val="26"/>
          <w:szCs w:val="26"/>
        </w:rPr>
        <w:t xml:space="preserve"> </w:t>
      </w:r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>а) приведение кодов бюджетной классификации расходов и источников внутреннего финансирования дефицита бюджета муниципального округа в соответствие  с бюджетной классификацией Российской Федерации;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>б) проведение операций по управлению муниципальным внутренним долгом Мезенского муниципального округа, направленных на оптимизацию его структуры, а также снижение стоимости заимствований, не приводящих к увеличению дефицита бюджета муниципального округа, верхнего предела муниципального внутреннего долга Мезенского муниципального округа и расходов на обслуживание долговых обязательств;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в) перераспределение бюджетных ассигнований в пределах, предусмотренных главным распорядителям средств бюджета муниципального округа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статьями, группами и подгруппами </w:t>
      </w:r>
      <w:proofErr w:type="gramStart"/>
      <w:r w:rsidRPr="00C13F42">
        <w:rPr>
          <w:sz w:val="26"/>
          <w:szCs w:val="26"/>
        </w:rPr>
        <w:t>видов расходов классификации расходов бюджетов</w:t>
      </w:r>
      <w:proofErr w:type="gramEnd"/>
      <w:r w:rsidRPr="00C13F42">
        <w:rPr>
          <w:sz w:val="26"/>
          <w:szCs w:val="26"/>
        </w:rPr>
        <w:t xml:space="preserve">;  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г) перераспределение бюджетных ассигнований между подгруппами </w:t>
      </w:r>
      <w:proofErr w:type="gramStart"/>
      <w:r w:rsidRPr="00C13F42">
        <w:rPr>
          <w:sz w:val="26"/>
          <w:szCs w:val="26"/>
        </w:rPr>
        <w:t>вида расходов классификации расходов бюджетов</w:t>
      </w:r>
      <w:proofErr w:type="gramEnd"/>
      <w:r w:rsidRPr="00C13F42">
        <w:rPr>
          <w:sz w:val="26"/>
          <w:szCs w:val="26"/>
        </w:rPr>
        <w:t xml:space="preserve"> в пределах общего объема бюджетных ассигнований, предусмотренных главному распорядителю средств бюджета муниципального округа по соответствующей целевой статье и группе вида расходов классификации расходов бюджетов;</w:t>
      </w:r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proofErr w:type="gramStart"/>
      <w:r w:rsidRPr="00C13F42">
        <w:rPr>
          <w:sz w:val="26"/>
          <w:szCs w:val="26"/>
        </w:rPr>
        <w:t xml:space="preserve">д) перераспределение бюджетных ассигнований между главными распорядителями средств бюджета муниципального округа, разделами, подразделами, целевыми статьями, группами и подгруппами видов расходов классификации расходов бюджетов с целью обеспечения софинансирования расходных обязательств, на которые предоставляются субсидии и иные межбюджетные трансферты из областного бюджета, а также уточнения их объема </w:t>
      </w:r>
      <w:r w:rsidRPr="00C13F42">
        <w:rPr>
          <w:sz w:val="26"/>
          <w:szCs w:val="26"/>
        </w:rPr>
        <w:lastRenderedPageBreak/>
        <w:t>в связи с изменением уровня софинансирования и объемов межбюджетных трансфертов из областного бюджета;</w:t>
      </w:r>
      <w:proofErr w:type="gramEnd"/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proofErr w:type="gramStart"/>
      <w:r w:rsidRPr="00C13F42">
        <w:rPr>
          <w:sz w:val="26"/>
          <w:szCs w:val="26"/>
        </w:rPr>
        <w:t>е) перераспределение бюджетных ассигнований между группами и</w:t>
      </w:r>
      <w:r w:rsidRPr="00C13F42">
        <w:rPr>
          <w:sz w:val="26"/>
          <w:szCs w:val="26"/>
          <w:lang w:val="en-US"/>
        </w:rPr>
        <w:t> </w:t>
      </w:r>
      <w:r w:rsidRPr="00C13F42">
        <w:rPr>
          <w:sz w:val="26"/>
          <w:szCs w:val="26"/>
        </w:rPr>
        <w:t>подгруппами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муниципального округа по соответствующей целевой статье расходов, в целях осуществления предусмотренных законодательством Российской Федерации и законодательством Архангельской области и муниципальными нормативными актами Мезенского муниципального округа выплат муниципальным служащим, лицам, замещающим муниципальные должности, работникам органов местного самоуправления</w:t>
      </w:r>
      <w:proofErr w:type="gramEnd"/>
      <w:r w:rsidRPr="00C13F42">
        <w:rPr>
          <w:sz w:val="26"/>
          <w:szCs w:val="26"/>
        </w:rPr>
        <w:t xml:space="preserve"> при ликвидации органов местного самоуправления, проведении иных организационно-штатных мероприятий, приводящих к сокращению численности или штата работников органов местного самоуправления;</w:t>
      </w:r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proofErr w:type="gramStart"/>
      <w:r w:rsidRPr="00C13F42">
        <w:rPr>
          <w:sz w:val="26"/>
          <w:szCs w:val="26"/>
        </w:rPr>
        <w:t>ж)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округа, в целях возврата в областной бюджет средств в связи с нарушением обязательств, предусмотренных соглашениями о предоставлении субсидий и иных межбюджетных трансфертов из областного бюджета бюджету муниципального округа, а также в случае</w:t>
      </w:r>
      <w:proofErr w:type="gramEnd"/>
      <w:r w:rsidRPr="00C13F42">
        <w:rPr>
          <w:sz w:val="26"/>
          <w:szCs w:val="26"/>
        </w:rPr>
        <w:t xml:space="preserve"> возврата в бюджет муниципального округа из областного бюджета перечисленных средств за нарушение условий указанных соглашений;</w:t>
      </w:r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proofErr w:type="spellStart"/>
      <w:r w:rsidRPr="00C13F42">
        <w:rPr>
          <w:sz w:val="26"/>
          <w:szCs w:val="26"/>
        </w:rPr>
        <w:t>з</w:t>
      </w:r>
      <w:proofErr w:type="spellEnd"/>
      <w:r w:rsidRPr="00C13F42">
        <w:rPr>
          <w:sz w:val="26"/>
          <w:szCs w:val="26"/>
        </w:rPr>
        <w:t>) перераспределение бюджетных ассигнований между группами и подгруппами видов расходов классификации расходов бюджетов (за исключением увеличения расходов на оплату труда) в пределах расходов на содержание и обеспечение функций органов местного самоуправления муниципального округа и расходов на обеспечение деятельности подведомственного казенного учреждения;</w:t>
      </w:r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>и) перераспределение бюджетных ассигнований между целевыми статьями классификации расходов бюджетов путем детализации направления расходов в составе целевой статьи;</w:t>
      </w:r>
    </w:p>
    <w:p w:rsidR="00DA69EA" w:rsidRPr="00C13F42" w:rsidRDefault="00DA69EA" w:rsidP="00C13F42">
      <w:pPr>
        <w:spacing w:after="0"/>
        <w:ind w:firstLine="720"/>
        <w:jc w:val="both"/>
        <w:rPr>
          <w:sz w:val="26"/>
          <w:szCs w:val="26"/>
        </w:rPr>
      </w:pPr>
      <w:r w:rsidRPr="00C13F42">
        <w:rPr>
          <w:sz w:val="26"/>
          <w:szCs w:val="26"/>
        </w:rPr>
        <w:t>к) перераспределение бюджетных ассигнований между главными распорядителями средств бюджета муниципального округа, разделами, подразделами, целевыми статьями и видами расходов классификации расходов бюджетов в целях исполнения расходных обязательств за счет средств субсидий, субвенций, иных межбюджетных трансфертов и безвозмездных поступлений от физических и юридических лиц, имеющих целевое назначение;</w:t>
      </w:r>
    </w:p>
    <w:p w:rsidR="00DA69EA" w:rsidRPr="00C13F42" w:rsidRDefault="00DA69EA" w:rsidP="00C13F42">
      <w:pPr>
        <w:spacing w:after="0"/>
        <w:ind w:firstLine="720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м) перераспределение бюджетных ассигнований между целевыми статьями, группами и подгруппами </w:t>
      </w:r>
      <w:proofErr w:type="gramStart"/>
      <w:r w:rsidRPr="00C13F42">
        <w:rPr>
          <w:sz w:val="26"/>
          <w:szCs w:val="26"/>
        </w:rPr>
        <w:t>видов расходов классификации расходов бюджетов</w:t>
      </w:r>
      <w:proofErr w:type="gramEnd"/>
      <w:r w:rsidRPr="00C13F42">
        <w:rPr>
          <w:sz w:val="26"/>
          <w:szCs w:val="26"/>
        </w:rPr>
        <w:t xml:space="preserve"> в пределах ассигнований, предусмотренных главному распорядителю на финансовое обеспечение соответствующего расходного обязательства в рамках муниципальной программы.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680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3. </w:t>
      </w:r>
      <w:proofErr w:type="gramStart"/>
      <w:r w:rsidRPr="00C13F42">
        <w:rPr>
          <w:sz w:val="26"/>
          <w:szCs w:val="26"/>
        </w:rPr>
        <w:t xml:space="preserve">Установить в соответствии с пунктом 3 статьи 217 Бюджетного кодекса Российской Федерации и подпунктом 11 пунктом 3 статьи 11 Положения о бюджетном процессе, что основанием для внесения в 2023 году изменений в показатели сводной бюджетной росписи бюджета муниципального округа без внесения изменений в настоящее решение является распределение </w:t>
      </w:r>
      <w:r w:rsidRPr="00C13F42">
        <w:rPr>
          <w:sz w:val="26"/>
          <w:szCs w:val="26"/>
        </w:rPr>
        <w:lastRenderedPageBreak/>
        <w:t>зарезервированных бюджетных ассигнований, предусмотренных финансовому управлению:</w:t>
      </w:r>
      <w:proofErr w:type="gramEnd"/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680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 по подразделу 0113 «Другие общегосударственные вопросы», целевой статье 5000020100 «Резервные средства для финансового обеспечения расходов в целях софинансирования субсидий и иных межбюджетных трансфертов, поступающих из областного бюджета», виду расходов 870 «Резервные средства» - для финансового обеспечения расходов, на софинансирование которых предоставлены субсидии и иные межбюджетные трансферты из областного бюджета.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4. Установить, что администрация муниципального округа в ходе исполнения </w:t>
      </w:r>
      <w:proofErr w:type="gramStart"/>
      <w:r w:rsidRPr="00C13F42">
        <w:rPr>
          <w:sz w:val="26"/>
          <w:szCs w:val="26"/>
        </w:rPr>
        <w:t>бюджета</w:t>
      </w:r>
      <w:proofErr w:type="gramEnd"/>
      <w:r w:rsidRPr="00C13F42">
        <w:rPr>
          <w:sz w:val="26"/>
          <w:szCs w:val="26"/>
        </w:rPr>
        <w:t xml:space="preserve"> с учетом фактически складывающегося дефицита бюджета вправе принимать решения о сокращении объемов заимствований без внесения изменений в утвержденные показатели программы внутренних заимствований муниципального округа на 2023 год и на плановый период 2024 и 2025 годов. </w:t>
      </w:r>
    </w:p>
    <w:p w:rsidR="00DA69EA" w:rsidRPr="00C13F42" w:rsidRDefault="00DA69EA" w:rsidP="00C13F42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5. </w:t>
      </w:r>
      <w:proofErr w:type="gramStart"/>
      <w:r w:rsidRPr="00C13F42">
        <w:rPr>
          <w:sz w:val="26"/>
          <w:szCs w:val="26"/>
        </w:rPr>
        <w:t>Установить, что при поступлении в доход бюджета муниципального округа субсидий, субвенций, иных межбюджетных трансфертов и безвозмездных поступлений от физических и юридических лиц, имеющих целевое назначение, сверх утвержденных настоящим решением объемов доходов, указанные средства направляются по целевому назначению на увеличение соответствующих расходов с внесением изменений в сводную бюджетную роспись бюджета муниципального округа без внесения изменений в настоящее решение.</w:t>
      </w:r>
      <w:proofErr w:type="gramEnd"/>
    </w:p>
    <w:p w:rsidR="00DA69EA" w:rsidRPr="00C13F42" w:rsidRDefault="00DA69EA" w:rsidP="00C13F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F42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C13F42">
        <w:rPr>
          <w:rFonts w:ascii="Times New Roman" w:hAnsi="Times New Roman" w:cs="Times New Roman"/>
          <w:sz w:val="26"/>
          <w:szCs w:val="26"/>
        </w:rPr>
        <w:t xml:space="preserve">Установить, что средства в объеме остатков субсидий, предоставленных в 2022 году муниципальным бюджетным  учреждениям  на финансовое обеспечение выполнения муниципальных заданий на оказание муниципальных услуг (выполнение работ), образовавшихся на 1 января 2023 года в связи с </w:t>
      </w:r>
      <w:proofErr w:type="spellStart"/>
      <w:r w:rsidRPr="00C13F42">
        <w:rPr>
          <w:rFonts w:ascii="Times New Roman" w:hAnsi="Times New Roman" w:cs="Times New Roman"/>
          <w:sz w:val="26"/>
          <w:szCs w:val="26"/>
        </w:rPr>
        <w:t>недостижением</w:t>
      </w:r>
      <w:proofErr w:type="spellEnd"/>
      <w:r w:rsidRPr="00C13F42">
        <w:rPr>
          <w:sz w:val="26"/>
          <w:szCs w:val="26"/>
        </w:rPr>
        <w:t xml:space="preserve"> </w:t>
      </w:r>
      <w:r w:rsidRPr="00C13F42">
        <w:rPr>
          <w:rFonts w:ascii="Times New Roman" w:hAnsi="Times New Roman" w:cs="Times New Roman"/>
          <w:sz w:val="26"/>
          <w:szCs w:val="26"/>
        </w:rPr>
        <w:t>муниципальными бюджетными учреждениями утвержденных муниципальным заданием показателей, характеризующих объем муниципальных услуг (работ), подлежат возврату в бюджет муниципального округа.</w:t>
      </w:r>
      <w:proofErr w:type="gramEnd"/>
    </w:p>
    <w:p w:rsidR="00DA69EA" w:rsidRPr="00C13F42" w:rsidRDefault="00DA69EA" w:rsidP="00C13F42">
      <w:pPr>
        <w:spacing w:after="0"/>
        <w:ind w:firstLine="709"/>
        <w:jc w:val="both"/>
        <w:rPr>
          <w:sz w:val="26"/>
          <w:szCs w:val="26"/>
        </w:rPr>
      </w:pPr>
      <w:r w:rsidRPr="00C13F42">
        <w:rPr>
          <w:sz w:val="26"/>
          <w:szCs w:val="26"/>
        </w:rPr>
        <w:t xml:space="preserve">7. Установить в соответствии с подпунктом 1 пункта 1 статьи 242.26 Бюджетного кодекса Российской Федерации, что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заключаемых в 2023 году, источником финансового </w:t>
      </w:r>
      <w:proofErr w:type="gramStart"/>
      <w:r w:rsidRPr="00C13F42">
        <w:rPr>
          <w:sz w:val="26"/>
          <w:szCs w:val="26"/>
        </w:rPr>
        <w:t>обеспечения</w:t>
      </w:r>
      <w:proofErr w:type="gramEnd"/>
      <w:r w:rsidRPr="00C13F42">
        <w:rPr>
          <w:sz w:val="26"/>
          <w:szCs w:val="26"/>
        </w:rPr>
        <w:t xml:space="preserve"> исполнения которых являются средства, предоставляемые из</w:t>
      </w:r>
      <w:r w:rsidRPr="00C13F42">
        <w:rPr>
          <w:sz w:val="26"/>
          <w:szCs w:val="26"/>
          <w:lang w:val="en-US"/>
        </w:rPr>
        <w:t> </w:t>
      </w:r>
      <w:r w:rsidRPr="00C13F42">
        <w:rPr>
          <w:sz w:val="26"/>
          <w:szCs w:val="26"/>
        </w:rPr>
        <w:t>бюджета муниципального округа: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bookmarkStart w:id="1" w:name="Par0"/>
      <w:bookmarkStart w:id="2" w:name="Par2"/>
      <w:bookmarkStart w:id="3" w:name="Par4"/>
      <w:bookmarkEnd w:id="1"/>
      <w:bookmarkEnd w:id="2"/>
      <w:bookmarkEnd w:id="3"/>
      <w:r w:rsidRPr="00C13F42">
        <w:rPr>
          <w:sz w:val="26"/>
          <w:szCs w:val="26"/>
        </w:rPr>
        <w:t>а) авансовые платежи по муниципальным контрактам (контрактам), договорам о поставке товаров, выполнении работ, оказании услуг, заключаемым получателями средств бюджета муниципального округа, муниципальными бюджетными и автономными учреждениями муниципального округа в</w:t>
      </w:r>
      <w:r w:rsidRPr="00C13F42">
        <w:rPr>
          <w:sz w:val="26"/>
          <w:szCs w:val="26"/>
          <w:lang w:val="en-US"/>
        </w:rPr>
        <w:t> </w:t>
      </w:r>
      <w:r w:rsidRPr="00C13F42">
        <w:rPr>
          <w:sz w:val="26"/>
          <w:szCs w:val="26"/>
        </w:rPr>
        <w:t>рамках реализации национальных проектов на сумму более            50 000 000 рублей;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bookmarkStart w:id="4" w:name="Par5"/>
      <w:bookmarkEnd w:id="4"/>
      <w:proofErr w:type="gramStart"/>
      <w:r w:rsidRPr="00C13F42">
        <w:rPr>
          <w:sz w:val="26"/>
          <w:szCs w:val="26"/>
        </w:rPr>
        <w:t xml:space="preserve">б) авансовые платежи по муниципальным контрактам (контрактам), договорам о поставке товаров, выполнении работ, оказании услуг, заключаемым получателями средств бюджета муниципального округа, муниципальными бюджетными и автономными учреждениями муниципального округа на сумму более 50 000 </w:t>
      </w:r>
      <w:proofErr w:type="spellStart"/>
      <w:r w:rsidRPr="00C13F42">
        <w:rPr>
          <w:sz w:val="26"/>
          <w:szCs w:val="26"/>
        </w:rPr>
        <w:t>000</w:t>
      </w:r>
      <w:proofErr w:type="spellEnd"/>
      <w:r w:rsidRPr="00C13F42">
        <w:rPr>
          <w:sz w:val="26"/>
          <w:szCs w:val="26"/>
        </w:rPr>
        <w:t xml:space="preserve"> рублей, предметом которых является строительство (реконструкция, капитальный ремонт) объектов муниципальной собственности, включая муниципальные контракты (контракты), источником финансового обеспечения которых являются средства, предоставленные бюджету муниципального округа государственной</w:t>
      </w:r>
      <w:proofErr w:type="gramEnd"/>
      <w:r w:rsidRPr="00C13F42">
        <w:rPr>
          <w:sz w:val="26"/>
          <w:szCs w:val="26"/>
        </w:rPr>
        <w:t xml:space="preserve"> корпорацией – Фондом содействия </w:t>
      </w:r>
      <w:r w:rsidRPr="00C13F42">
        <w:rPr>
          <w:sz w:val="26"/>
          <w:szCs w:val="26"/>
        </w:rPr>
        <w:lastRenderedPageBreak/>
        <w:t>реформированию жилищно-коммунального хозяйства в рамках реализации адресной программы Архангельской области «Переселение граждан из аварийного жилищного фонда на 2019 – 2025 годы»;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  <w:highlight w:val="cyan"/>
        </w:rPr>
      </w:pPr>
      <w:r w:rsidRPr="00C13F42">
        <w:rPr>
          <w:sz w:val="26"/>
          <w:szCs w:val="26"/>
        </w:rPr>
        <w:t xml:space="preserve">в) авансовые платежи по контрактам (договорам), заключаемым исполнителями и соисполнителями на сумму более 10 000 </w:t>
      </w:r>
      <w:proofErr w:type="spellStart"/>
      <w:r w:rsidRPr="00C13F42">
        <w:rPr>
          <w:sz w:val="26"/>
          <w:szCs w:val="26"/>
        </w:rPr>
        <w:t>000</w:t>
      </w:r>
      <w:proofErr w:type="spellEnd"/>
      <w:r w:rsidRPr="00C13F42">
        <w:rPr>
          <w:sz w:val="26"/>
          <w:szCs w:val="26"/>
        </w:rPr>
        <w:t xml:space="preserve"> рублей в рамках исполнения муниципальных контрактов (контрактов), предусмотренных подпунктом «б» настоящего пункта.</w:t>
      </w:r>
    </w:p>
    <w:p w:rsidR="00DA69EA" w:rsidRPr="003759C8" w:rsidRDefault="00DA69EA" w:rsidP="00C13F42">
      <w:pPr>
        <w:spacing w:after="0"/>
        <w:jc w:val="both"/>
        <w:rPr>
          <w:highlight w:val="cyan"/>
        </w:rPr>
      </w:pPr>
    </w:p>
    <w:tbl>
      <w:tblPr>
        <w:tblW w:w="9180" w:type="dxa"/>
        <w:jc w:val="center"/>
        <w:tblInd w:w="648" w:type="dxa"/>
        <w:tblLook w:val="01E0"/>
      </w:tblPr>
      <w:tblGrid>
        <w:gridCol w:w="1800"/>
        <w:gridCol w:w="7380"/>
      </w:tblGrid>
      <w:tr w:rsidR="00DA69EA" w:rsidRPr="003759C8" w:rsidTr="00C13F42">
        <w:trPr>
          <w:jc w:val="center"/>
        </w:trPr>
        <w:tc>
          <w:tcPr>
            <w:tcW w:w="1800" w:type="dxa"/>
          </w:tcPr>
          <w:p w:rsidR="00DA69EA" w:rsidRPr="00C13F42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C13F42">
              <w:rPr>
                <w:b/>
                <w:sz w:val="26"/>
                <w:szCs w:val="26"/>
              </w:rPr>
              <w:t>Статья 9.</w:t>
            </w:r>
          </w:p>
        </w:tc>
        <w:tc>
          <w:tcPr>
            <w:tcW w:w="7380" w:type="dxa"/>
          </w:tcPr>
          <w:p w:rsidR="00DA69EA" w:rsidRPr="00C13F42" w:rsidRDefault="00DA69EA" w:rsidP="00C13F42">
            <w:pPr>
              <w:spacing w:after="0"/>
              <w:jc w:val="both"/>
              <w:rPr>
                <w:b/>
                <w:sz w:val="26"/>
                <w:szCs w:val="26"/>
              </w:rPr>
            </w:pPr>
            <w:r w:rsidRPr="00C13F42">
              <w:rPr>
                <w:b/>
                <w:bCs/>
                <w:sz w:val="26"/>
                <w:szCs w:val="26"/>
              </w:rPr>
              <w:t>Резервирование сре</w:t>
            </w:r>
            <w:proofErr w:type="gramStart"/>
            <w:r w:rsidRPr="00C13F42">
              <w:rPr>
                <w:b/>
                <w:bCs/>
                <w:sz w:val="26"/>
                <w:szCs w:val="26"/>
              </w:rPr>
              <w:t>дств в с</w:t>
            </w:r>
            <w:proofErr w:type="gramEnd"/>
            <w:r w:rsidRPr="00C13F42">
              <w:rPr>
                <w:b/>
                <w:bCs/>
                <w:sz w:val="26"/>
                <w:szCs w:val="26"/>
              </w:rPr>
              <w:t xml:space="preserve">оставе бюджетных ассигнований на 2023 год и на плановый период         2024 и 2025 годов </w:t>
            </w:r>
          </w:p>
        </w:tc>
      </w:tr>
    </w:tbl>
    <w:p w:rsidR="00DA69EA" w:rsidRPr="003759C8" w:rsidRDefault="00DA69EA" w:rsidP="00C13F42">
      <w:pPr>
        <w:spacing w:after="0"/>
        <w:ind w:firstLine="708"/>
        <w:jc w:val="both"/>
        <w:rPr>
          <w:b/>
          <w:bCs/>
        </w:rPr>
      </w:pPr>
    </w:p>
    <w:p w:rsidR="00DA69EA" w:rsidRPr="00C13F42" w:rsidRDefault="00DA69EA" w:rsidP="00C13F42">
      <w:pPr>
        <w:pStyle w:val="a9"/>
        <w:ind w:left="0" w:firstLine="851"/>
        <w:jc w:val="both"/>
        <w:rPr>
          <w:b w:val="0"/>
          <w:sz w:val="26"/>
          <w:szCs w:val="26"/>
        </w:rPr>
      </w:pPr>
      <w:r w:rsidRPr="00C13F42">
        <w:rPr>
          <w:b w:val="0"/>
          <w:sz w:val="26"/>
          <w:szCs w:val="26"/>
        </w:rPr>
        <w:t xml:space="preserve">1. </w:t>
      </w:r>
      <w:proofErr w:type="gramStart"/>
      <w:r w:rsidRPr="00C13F42">
        <w:rPr>
          <w:b w:val="0"/>
          <w:sz w:val="26"/>
          <w:szCs w:val="26"/>
        </w:rPr>
        <w:t>Утвердить объем резервного фонда администрации Мезенского муниципального округа на 2023 год для финансового обеспечения непредвиденных расходов в сумме 3 582 000 рублей, на 2024 год 2 200 000 рублей, на 2025 год 1 700 000 рублей,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предусмотренных администрации Мезенского муниципального</w:t>
      </w:r>
      <w:proofErr w:type="gramEnd"/>
      <w:r w:rsidRPr="00C13F42">
        <w:rPr>
          <w:b w:val="0"/>
          <w:sz w:val="26"/>
          <w:szCs w:val="26"/>
        </w:rPr>
        <w:t xml:space="preserve"> округа в составе подраздела 0310 «Защита населения и территории от последствий чрезвычайных ситуаций природного и техногенного характера, пожарная безопасность» раздела 03 «Национальная безопасность и правоохранительная деятельность» на 2023 год в сумме 200 000 рублей, на 2024 год 200 000 рублей, на 2025 год 200 000 рублей.</w:t>
      </w:r>
    </w:p>
    <w:p w:rsidR="00DA69EA" w:rsidRPr="00C13F42" w:rsidRDefault="00DA69EA" w:rsidP="00C13F42">
      <w:pPr>
        <w:pStyle w:val="a9"/>
        <w:ind w:left="0" w:firstLine="851"/>
        <w:jc w:val="both"/>
        <w:rPr>
          <w:b w:val="0"/>
          <w:sz w:val="26"/>
          <w:szCs w:val="26"/>
        </w:rPr>
      </w:pPr>
      <w:r w:rsidRPr="00C13F42">
        <w:rPr>
          <w:b w:val="0"/>
          <w:sz w:val="26"/>
          <w:szCs w:val="26"/>
        </w:rPr>
        <w:t xml:space="preserve">2. Зарезервировать в составе бюджетных ассигнований на 2023 год и плановый период 2024 и 2025 года средства бюджета муниципального округа </w:t>
      </w:r>
      <w:proofErr w:type="gramStart"/>
      <w:r w:rsidRPr="00C13F42">
        <w:rPr>
          <w:b w:val="0"/>
          <w:sz w:val="26"/>
          <w:szCs w:val="26"/>
        </w:rPr>
        <w:t>на</w:t>
      </w:r>
      <w:proofErr w:type="gramEnd"/>
      <w:r w:rsidRPr="00C13F42">
        <w:rPr>
          <w:b w:val="0"/>
          <w:sz w:val="26"/>
          <w:szCs w:val="26"/>
        </w:rPr>
        <w:t>:</w:t>
      </w:r>
    </w:p>
    <w:p w:rsidR="00DA69EA" w:rsidRPr="00C13F42" w:rsidRDefault="00DA69EA" w:rsidP="00C13F42">
      <w:pPr>
        <w:autoSpaceDE w:val="0"/>
        <w:autoSpaceDN w:val="0"/>
        <w:adjustRightInd w:val="0"/>
        <w:spacing w:after="0"/>
        <w:ind w:firstLine="851"/>
        <w:jc w:val="both"/>
        <w:rPr>
          <w:sz w:val="26"/>
          <w:szCs w:val="26"/>
        </w:rPr>
      </w:pPr>
      <w:r w:rsidRPr="00C13F42">
        <w:rPr>
          <w:sz w:val="26"/>
          <w:szCs w:val="26"/>
        </w:rPr>
        <w:t>а) финансовое обеспечение расходов, на софинансирование которых предоставлены субсидии и иные межбюджетные трансферты из областного бюджета на 2023 год в сумме 4 539 521,37 рубль, на 2024 год в сумме 1 044 669,55 рублей, на 2025 год в сумме 982 384,98 рубля.</w:t>
      </w:r>
    </w:p>
    <w:p w:rsidR="00DA69EA" w:rsidRPr="00C13F42" w:rsidRDefault="00DA69EA" w:rsidP="00C13F42">
      <w:pPr>
        <w:spacing w:after="0"/>
        <w:ind w:firstLine="851"/>
        <w:jc w:val="both"/>
        <w:rPr>
          <w:bCs/>
          <w:sz w:val="26"/>
          <w:szCs w:val="26"/>
        </w:rPr>
      </w:pPr>
      <w:r w:rsidRPr="00C13F42">
        <w:rPr>
          <w:bCs/>
          <w:sz w:val="26"/>
          <w:szCs w:val="26"/>
        </w:rPr>
        <w:t>3. Порядок использования и распределения бюджетных ассигнований, предусмотренных пунктом 1 настоящей статьи, устанавливается администрацией Мезенского муниципального округа.</w:t>
      </w:r>
    </w:p>
    <w:p w:rsidR="00DA69EA" w:rsidRPr="00C13F42" w:rsidRDefault="00DA69EA" w:rsidP="00C13F42">
      <w:pPr>
        <w:spacing w:after="0"/>
        <w:ind w:firstLine="851"/>
        <w:jc w:val="both"/>
        <w:rPr>
          <w:bCs/>
          <w:sz w:val="26"/>
          <w:szCs w:val="26"/>
        </w:rPr>
      </w:pPr>
    </w:p>
    <w:tbl>
      <w:tblPr>
        <w:tblW w:w="8820" w:type="dxa"/>
        <w:jc w:val="center"/>
        <w:tblInd w:w="648" w:type="dxa"/>
        <w:tblLook w:val="01E0"/>
      </w:tblPr>
      <w:tblGrid>
        <w:gridCol w:w="1800"/>
        <w:gridCol w:w="7020"/>
      </w:tblGrid>
      <w:tr w:rsidR="00DA69EA" w:rsidRPr="003759C8" w:rsidTr="00C13F42">
        <w:trPr>
          <w:jc w:val="center"/>
        </w:trPr>
        <w:tc>
          <w:tcPr>
            <w:tcW w:w="1800" w:type="dxa"/>
          </w:tcPr>
          <w:p w:rsidR="00DA69EA" w:rsidRPr="00C13F42" w:rsidRDefault="00DA69EA" w:rsidP="00510B33">
            <w:pPr>
              <w:jc w:val="both"/>
              <w:rPr>
                <w:b/>
                <w:sz w:val="26"/>
                <w:szCs w:val="26"/>
              </w:rPr>
            </w:pPr>
            <w:r w:rsidRPr="00C13F42">
              <w:rPr>
                <w:b/>
                <w:sz w:val="26"/>
                <w:szCs w:val="26"/>
              </w:rPr>
              <w:t>Статья 10.</w:t>
            </w:r>
          </w:p>
        </w:tc>
        <w:tc>
          <w:tcPr>
            <w:tcW w:w="7020" w:type="dxa"/>
          </w:tcPr>
          <w:p w:rsidR="00DA69EA" w:rsidRPr="00C13F42" w:rsidRDefault="00DA69EA" w:rsidP="00510B33">
            <w:pPr>
              <w:jc w:val="both"/>
              <w:rPr>
                <w:b/>
                <w:sz w:val="26"/>
                <w:szCs w:val="26"/>
              </w:rPr>
            </w:pPr>
            <w:r w:rsidRPr="00C13F42">
              <w:rPr>
                <w:b/>
                <w:bCs/>
                <w:sz w:val="26"/>
                <w:szCs w:val="26"/>
              </w:rPr>
              <w:t>Вступление в силу настоящего решения</w:t>
            </w:r>
          </w:p>
        </w:tc>
      </w:tr>
    </w:tbl>
    <w:p w:rsidR="00DA69EA" w:rsidRPr="00C13F42" w:rsidRDefault="00DA69EA" w:rsidP="00DA69EA">
      <w:pPr>
        <w:ind w:firstLine="708"/>
        <w:jc w:val="both"/>
        <w:rPr>
          <w:sz w:val="26"/>
          <w:szCs w:val="26"/>
        </w:rPr>
      </w:pPr>
    </w:p>
    <w:p w:rsidR="00DA69EA" w:rsidRPr="00C13F42" w:rsidRDefault="00DA69EA" w:rsidP="00C13F4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C13F42">
        <w:rPr>
          <w:sz w:val="26"/>
          <w:szCs w:val="26"/>
        </w:rPr>
        <w:t>Настоящее решение  вступает в силу с 1 января 2023 года.</w:t>
      </w:r>
    </w:p>
    <w:p w:rsidR="003368BB" w:rsidRDefault="003368BB" w:rsidP="003368BB">
      <w:pPr>
        <w:rPr>
          <w:rFonts w:cs="Times New Roman"/>
          <w:sz w:val="26"/>
          <w:szCs w:val="26"/>
        </w:rPr>
      </w:pPr>
    </w:p>
    <w:p w:rsidR="004061DF" w:rsidRDefault="004061DF" w:rsidP="003368BB">
      <w:pPr>
        <w:rPr>
          <w:rFonts w:cs="Times New Roman"/>
          <w:sz w:val="26"/>
          <w:szCs w:val="26"/>
        </w:rPr>
      </w:pPr>
    </w:p>
    <w:p w:rsidR="004061DF" w:rsidRDefault="004061DF" w:rsidP="003368BB">
      <w:pPr>
        <w:rPr>
          <w:rFonts w:cs="Times New Roman"/>
          <w:sz w:val="26"/>
          <w:szCs w:val="26"/>
        </w:rPr>
      </w:pP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 xml:space="preserve">Глава Мезенского муниципального округа                                           В.А. Авдеев   </w:t>
      </w: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</w:p>
    <w:p w:rsidR="00663012" w:rsidRPr="007D3310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63012" w:rsidRDefault="00663012" w:rsidP="00663012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7D3310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              </w:t>
      </w:r>
      <w:r w:rsidRPr="007D3310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7D3310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3368BB" w:rsidRPr="003368BB" w:rsidRDefault="003368BB" w:rsidP="003368BB">
      <w:pPr>
        <w:rPr>
          <w:lang w:eastAsia="ru-RU"/>
        </w:rPr>
      </w:pPr>
    </w:p>
    <w:p w:rsidR="003368BB" w:rsidRPr="003368BB" w:rsidRDefault="003368BB" w:rsidP="003368BB">
      <w:pPr>
        <w:rPr>
          <w:lang w:eastAsia="ru-RU"/>
        </w:rPr>
      </w:pPr>
    </w:p>
    <w:p w:rsidR="00490624" w:rsidRDefault="00490624" w:rsidP="003368BB">
      <w:pPr>
        <w:tabs>
          <w:tab w:val="left" w:pos="3383"/>
        </w:tabs>
        <w:rPr>
          <w:lang w:eastAsia="ru-RU"/>
        </w:rPr>
      </w:pPr>
    </w:p>
    <w:sectPr w:rsidR="0049062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B6D6E"/>
    <w:rsid w:val="000C18EC"/>
    <w:rsid w:val="000C6495"/>
    <w:rsid w:val="001340DB"/>
    <w:rsid w:val="001829E4"/>
    <w:rsid w:val="0019619C"/>
    <w:rsid w:val="001B5430"/>
    <w:rsid w:val="001F15BC"/>
    <w:rsid w:val="00291354"/>
    <w:rsid w:val="002B35FC"/>
    <w:rsid w:val="002C2B6D"/>
    <w:rsid w:val="0030047C"/>
    <w:rsid w:val="003368BB"/>
    <w:rsid w:val="00353013"/>
    <w:rsid w:val="00392849"/>
    <w:rsid w:val="003A542B"/>
    <w:rsid w:val="003D1D83"/>
    <w:rsid w:val="003F2FAB"/>
    <w:rsid w:val="003F6A4F"/>
    <w:rsid w:val="004061DF"/>
    <w:rsid w:val="00490624"/>
    <w:rsid w:val="0049776A"/>
    <w:rsid w:val="004D2AD8"/>
    <w:rsid w:val="004E39C8"/>
    <w:rsid w:val="005F6825"/>
    <w:rsid w:val="00613B3A"/>
    <w:rsid w:val="00630857"/>
    <w:rsid w:val="00663012"/>
    <w:rsid w:val="006C0B77"/>
    <w:rsid w:val="006D0FC5"/>
    <w:rsid w:val="00747B5B"/>
    <w:rsid w:val="00771874"/>
    <w:rsid w:val="00783EE5"/>
    <w:rsid w:val="007C212E"/>
    <w:rsid w:val="008242FF"/>
    <w:rsid w:val="00847570"/>
    <w:rsid w:val="00870751"/>
    <w:rsid w:val="00882DE3"/>
    <w:rsid w:val="008C31C3"/>
    <w:rsid w:val="00922C48"/>
    <w:rsid w:val="00964E10"/>
    <w:rsid w:val="00994EC0"/>
    <w:rsid w:val="009C7191"/>
    <w:rsid w:val="009E23BE"/>
    <w:rsid w:val="00AC33D7"/>
    <w:rsid w:val="00B22127"/>
    <w:rsid w:val="00B915B7"/>
    <w:rsid w:val="00BB6A74"/>
    <w:rsid w:val="00BE43BF"/>
    <w:rsid w:val="00C01727"/>
    <w:rsid w:val="00C0745D"/>
    <w:rsid w:val="00C13F42"/>
    <w:rsid w:val="00CF6165"/>
    <w:rsid w:val="00D052E3"/>
    <w:rsid w:val="00D564B4"/>
    <w:rsid w:val="00DA69EA"/>
    <w:rsid w:val="00E049FE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368BB"/>
    <w:pPr>
      <w:keepNext/>
      <w:spacing w:after="0"/>
      <w:ind w:firstLine="54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link w:val="a5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link w:val="ConsPlusNormal0"/>
    <w:uiPriority w:val="99"/>
    <w:qFormat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rsid w:val="000B6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368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Без интервала Знак"/>
    <w:link w:val="a4"/>
    <w:uiPriority w:val="1"/>
    <w:rsid w:val="003368BB"/>
    <w:rPr>
      <w:rFonts w:ascii="Calibri" w:eastAsia="Calibri" w:hAnsi="Calibri" w:cs="Times New Roman"/>
    </w:rPr>
  </w:style>
  <w:style w:type="character" w:customStyle="1" w:styleId="ac">
    <w:name w:val="Основной текст_"/>
    <w:link w:val="11"/>
    <w:rsid w:val="003368BB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c"/>
    <w:rsid w:val="003368BB"/>
    <w:pPr>
      <w:shd w:val="clear" w:color="auto" w:fill="FFFFFF"/>
      <w:spacing w:before="360" w:after="60" w:line="0" w:lineRule="atLeast"/>
      <w:ind w:hanging="2920"/>
    </w:pPr>
    <w:rPr>
      <w:rFonts w:asciiTheme="minorHAnsi" w:hAnsiTheme="minorHAnsi"/>
      <w:sz w:val="25"/>
      <w:szCs w:val="25"/>
    </w:rPr>
  </w:style>
  <w:style w:type="character" w:customStyle="1" w:styleId="ConsPlusNormal0">
    <w:name w:val="ConsPlusNormal Знак"/>
    <w:link w:val="ConsPlusNormal"/>
    <w:uiPriority w:val="99"/>
    <w:locked/>
    <w:rsid w:val="00DA69E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29</cp:revision>
  <cp:lastPrinted>2022-12-19T11:53:00Z</cp:lastPrinted>
  <dcterms:created xsi:type="dcterms:W3CDTF">2022-10-20T08:25:00Z</dcterms:created>
  <dcterms:modified xsi:type="dcterms:W3CDTF">2022-12-19T11:53:00Z</dcterms:modified>
</cp:coreProperties>
</file>